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2CA8" w14:textId="77777777" w:rsidR="00D01897" w:rsidRDefault="00C359BC" w:rsidP="00C359BC">
      <w:pPr>
        <w:pStyle w:val="SFRTitle"/>
        <w:pBdr>
          <w:left w:val="single" w:sz="8" w:space="0" w:color="104F75"/>
          <w:right w:val="single" w:sz="8" w:space="1" w:color="104F75"/>
        </w:pBdr>
        <w:ind w:left="57"/>
        <w:rPr>
          <w:lang w:val="en"/>
        </w:rPr>
      </w:pPr>
      <w:r w:rsidRPr="00925B23">
        <w:rPr>
          <w:noProof/>
          <w:sz w:val="20"/>
          <w:lang w:eastAsia="en-GB"/>
        </w:rPr>
        <w:drawing>
          <wp:anchor distT="0" distB="0" distL="114300" distR="114300" simplePos="0" relativeHeight="251658240" behindDoc="0" locked="0" layoutInCell="1" allowOverlap="1" wp14:anchorId="61E2B6D6" wp14:editId="40B29E84">
            <wp:simplePos x="0" y="0"/>
            <wp:positionH relativeFrom="column">
              <wp:posOffset>5715</wp:posOffset>
            </wp:positionH>
            <wp:positionV relativeFrom="paragraph">
              <wp:posOffset>5715</wp:posOffset>
            </wp:positionV>
            <wp:extent cx="1511300" cy="890270"/>
            <wp:effectExtent l="0" t="0" r="0" b="508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E 29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
        </w:rPr>
        <w:t xml:space="preserve">Graduate outcomes (LEO): subject by provider: </w:t>
      </w:r>
    </w:p>
    <w:p w14:paraId="3B41AEFB" w14:textId="70A8AE8D" w:rsidR="00C359BC" w:rsidRPr="00D01897" w:rsidRDefault="00C359BC" w:rsidP="00C359BC">
      <w:pPr>
        <w:pStyle w:val="SFRTitle"/>
        <w:pBdr>
          <w:left w:val="single" w:sz="8" w:space="0" w:color="104F75"/>
          <w:right w:val="single" w:sz="8" w:space="1" w:color="104F75"/>
        </w:pBdr>
        <w:ind w:left="57"/>
      </w:pPr>
      <w:r w:rsidRPr="00D01897">
        <w:rPr>
          <w:noProof/>
        </w:rPr>
        <w:t xml:space="preserve">How to read boxplots in this publication </w:t>
      </w:r>
    </w:p>
    <w:p w14:paraId="37172A6F" w14:textId="125B1299" w:rsidR="00C359BC" w:rsidRDefault="00C359BC" w:rsidP="00C359BC">
      <w:pPr>
        <w:pStyle w:val="Frontpageheadline"/>
      </w:pPr>
      <w:r>
        <w:t>201</w:t>
      </w:r>
      <w:r w:rsidR="006C7EED">
        <w:t>8</w:t>
      </w:r>
      <w:r>
        <w:t>/1</w:t>
      </w:r>
      <w:r w:rsidR="006C7EED">
        <w:t>9</w:t>
      </w:r>
      <w:r>
        <w:t xml:space="preserve"> tax year data</w:t>
      </w:r>
    </w:p>
    <w:p w14:paraId="70C571B4" w14:textId="75A26193" w:rsidR="00C359BC" w:rsidRDefault="00C359BC" w:rsidP="00AF1C07">
      <w:pPr>
        <w:pStyle w:val="DeptBullets"/>
        <w:numPr>
          <w:ilvl w:val="0"/>
          <w:numId w:val="0"/>
        </w:numPr>
        <w:rPr>
          <w:noProof/>
        </w:rPr>
      </w:pPr>
    </w:p>
    <w:p w14:paraId="05216064" w14:textId="01BAC893" w:rsidR="00C359BC" w:rsidRPr="00C359BC" w:rsidRDefault="00BC5B6F" w:rsidP="00D01897">
      <w:pPr>
        <w:pStyle w:val="DeptBullets"/>
        <w:numPr>
          <w:ilvl w:val="0"/>
          <w:numId w:val="13"/>
        </w:numPr>
        <w:rPr>
          <w:rFonts w:eastAsia="Calibri" w:cs="Arial"/>
          <w:b/>
          <w:color w:val="104F75"/>
          <w:sz w:val="32"/>
          <w:szCs w:val="32"/>
        </w:rPr>
      </w:pPr>
      <w:r w:rsidRPr="00C359BC">
        <w:rPr>
          <w:rFonts w:eastAsia="Calibri" w:cs="Arial"/>
          <w:b/>
          <w:color w:val="104F75"/>
          <w:sz w:val="32"/>
          <w:szCs w:val="32"/>
        </w:rPr>
        <w:t xml:space="preserve">How to read boxplots </w:t>
      </w:r>
      <w:r w:rsidR="006E29D8">
        <w:rPr>
          <w:rFonts w:eastAsia="Calibri" w:cs="Arial"/>
          <w:b/>
          <w:color w:val="104F75"/>
          <w:sz w:val="32"/>
          <w:szCs w:val="32"/>
        </w:rPr>
        <w:t xml:space="preserve">(Earnings </w:t>
      </w:r>
      <w:r w:rsidR="00D126D5">
        <w:rPr>
          <w:rFonts w:eastAsia="Calibri" w:cs="Arial"/>
          <w:b/>
          <w:color w:val="104F75"/>
          <w:sz w:val="32"/>
          <w:szCs w:val="32"/>
        </w:rPr>
        <w:t xml:space="preserve">and employment </w:t>
      </w:r>
      <w:r w:rsidR="006E29D8">
        <w:rPr>
          <w:rFonts w:eastAsia="Calibri" w:cs="Arial"/>
          <w:b/>
          <w:color w:val="104F75"/>
          <w:sz w:val="32"/>
          <w:szCs w:val="32"/>
        </w:rPr>
        <w:t xml:space="preserve">outcomes </w:t>
      </w:r>
      <w:r w:rsidR="00750287">
        <w:rPr>
          <w:rFonts w:eastAsia="Calibri" w:cs="Arial"/>
          <w:b/>
          <w:color w:val="104F75"/>
          <w:sz w:val="32"/>
          <w:szCs w:val="32"/>
        </w:rPr>
        <w:t>across providers by subject</w:t>
      </w:r>
      <w:r w:rsidRPr="00C359BC">
        <w:rPr>
          <w:rFonts w:eastAsia="Calibri" w:cs="Arial"/>
          <w:b/>
          <w:color w:val="104F75"/>
          <w:sz w:val="32"/>
          <w:szCs w:val="32"/>
        </w:rPr>
        <w:t>)</w:t>
      </w:r>
    </w:p>
    <w:p w14:paraId="2BBA8D7D" w14:textId="41C70428" w:rsidR="00C359BC" w:rsidRDefault="0076723B" w:rsidP="00C359BC">
      <w:pPr>
        <w:pStyle w:val="Paragraph"/>
        <w:ind w:left="720"/>
      </w:pPr>
      <w:r>
        <w:rPr>
          <w:noProof/>
        </w:rPr>
        <w:drawing>
          <wp:inline distT="0" distB="0" distL="0" distR="0" wp14:anchorId="0AF74E3F" wp14:editId="38B3F4C9">
            <wp:extent cx="5791200" cy="216409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7396" cy="2173881"/>
                    </a:xfrm>
                    <a:prstGeom prst="rect">
                      <a:avLst/>
                    </a:prstGeom>
                  </pic:spPr>
                </pic:pic>
              </a:graphicData>
            </a:graphic>
          </wp:inline>
        </w:drawing>
      </w:r>
    </w:p>
    <w:p w14:paraId="77D8020B" w14:textId="49768859" w:rsidR="00BC5B6F" w:rsidRPr="00694776" w:rsidRDefault="00BC5B6F" w:rsidP="00C359BC">
      <w:pPr>
        <w:pStyle w:val="Paragraph"/>
        <w:ind w:left="720"/>
      </w:pPr>
      <w:r>
        <w:t xml:space="preserve">The median earnings </w:t>
      </w:r>
      <w:proofErr w:type="gramStart"/>
      <w:r>
        <w:t>is</w:t>
      </w:r>
      <w:proofErr w:type="gramEnd"/>
      <w:r>
        <w:t xml:space="preserve"> calculated by ranking all providers’ median annualised earnings </w:t>
      </w:r>
      <w:r w:rsidR="00F73912">
        <w:t xml:space="preserve">in each subject </w:t>
      </w:r>
      <w:r>
        <w:t>and taking the value at which half of providers fall above and half fall below. In particular, the median displayed here is not the same as the median for all graduates.</w:t>
      </w:r>
    </w:p>
    <w:p w14:paraId="34D363A6" w14:textId="3437F44C" w:rsidR="00BC5B6F" w:rsidRPr="00694776" w:rsidRDefault="00BC5B6F" w:rsidP="00C359BC">
      <w:pPr>
        <w:pStyle w:val="Paragraph"/>
        <w:ind w:left="720"/>
      </w:pPr>
      <w:r>
        <w:t xml:space="preserve">The lower quartile earnings </w:t>
      </w:r>
      <w:proofErr w:type="gramStart"/>
      <w:r>
        <w:t>is</w:t>
      </w:r>
      <w:proofErr w:type="gramEnd"/>
      <w:r>
        <w:t xml:space="preserve"> calculated by ranking all providers’ median annualised earnings and taking the value at which three quarters of providers fall above and one quarter fall below.</w:t>
      </w:r>
    </w:p>
    <w:p w14:paraId="2CA29EB6" w14:textId="740C6350" w:rsidR="00BC5B6F" w:rsidRDefault="00BC5B6F" w:rsidP="00C359BC">
      <w:pPr>
        <w:pStyle w:val="Paragraph"/>
        <w:ind w:left="720"/>
      </w:pPr>
      <w:r>
        <w:t xml:space="preserve">The upper quartile earnings </w:t>
      </w:r>
      <w:proofErr w:type="gramStart"/>
      <w:r>
        <w:t>is</w:t>
      </w:r>
      <w:proofErr w:type="gramEnd"/>
      <w:r>
        <w:t xml:space="preserve"> calculated by ranking all providers’ annualised earnings and taking the value at which one quarter of providers fall above and three quarters fall below.</w:t>
      </w:r>
    </w:p>
    <w:p w14:paraId="170894BE" w14:textId="44C0EBAC" w:rsidR="00D01897" w:rsidRDefault="009557EF" w:rsidP="008104B1">
      <w:pPr>
        <w:pStyle w:val="Paragraph"/>
        <w:ind w:left="720"/>
      </w:pPr>
      <w:r>
        <w:t xml:space="preserve">The graduate median line shows the </w:t>
      </w:r>
      <w:r w:rsidR="008104B1">
        <w:t>graduate earnings median for the tax year.</w:t>
      </w:r>
      <w:r w:rsidR="00F74146">
        <w:t xml:space="preserve"> This was published in </w:t>
      </w:r>
      <w:hyperlink r:id="rId12" w:history="1">
        <w:r w:rsidR="00384E9F" w:rsidRPr="0059388F">
          <w:rPr>
            <w:rStyle w:val="Hyperlink"/>
          </w:rPr>
          <w:t>Graduate Outcomes (LEO): 2018-19</w:t>
        </w:r>
      </w:hyperlink>
      <w:r w:rsidR="008C0DE5">
        <w:t>.</w:t>
      </w:r>
    </w:p>
    <w:p w14:paraId="53AE9F7A" w14:textId="77777777" w:rsidR="008104B1" w:rsidRPr="008104B1" w:rsidRDefault="008104B1" w:rsidP="008104B1">
      <w:pPr>
        <w:pStyle w:val="Paragraph"/>
        <w:ind w:left="720"/>
      </w:pPr>
    </w:p>
    <w:p w14:paraId="55FDA314" w14:textId="2338DB15" w:rsidR="00C359BC" w:rsidRPr="00C359BC" w:rsidRDefault="00C359BC" w:rsidP="00D01897">
      <w:pPr>
        <w:pStyle w:val="DeptBullets"/>
        <w:numPr>
          <w:ilvl w:val="0"/>
          <w:numId w:val="13"/>
        </w:numPr>
        <w:rPr>
          <w:rFonts w:eastAsia="Calibri" w:cs="Arial"/>
          <w:b/>
          <w:color w:val="104F75"/>
          <w:sz w:val="32"/>
          <w:szCs w:val="32"/>
        </w:rPr>
      </w:pPr>
      <w:r w:rsidRPr="00C359BC">
        <w:rPr>
          <w:rFonts w:eastAsia="Calibri" w:cs="Arial"/>
          <w:b/>
          <w:color w:val="104F75"/>
          <w:sz w:val="32"/>
          <w:szCs w:val="32"/>
        </w:rPr>
        <w:t>How to read boxplots for regional analysis (</w:t>
      </w:r>
      <w:r w:rsidR="00DF33F1">
        <w:rPr>
          <w:rFonts w:eastAsia="Calibri" w:cs="Arial"/>
          <w:b/>
          <w:color w:val="104F75"/>
          <w:sz w:val="32"/>
          <w:szCs w:val="32"/>
        </w:rPr>
        <w:t xml:space="preserve">Earnings </w:t>
      </w:r>
      <w:r w:rsidR="00EA130D">
        <w:rPr>
          <w:rFonts w:eastAsia="Calibri" w:cs="Arial"/>
          <w:b/>
          <w:color w:val="104F75"/>
          <w:sz w:val="32"/>
          <w:szCs w:val="32"/>
        </w:rPr>
        <w:t xml:space="preserve">and employment </w:t>
      </w:r>
      <w:r w:rsidR="00DF33F1">
        <w:rPr>
          <w:rFonts w:eastAsia="Calibri" w:cs="Arial"/>
          <w:b/>
          <w:color w:val="104F75"/>
          <w:sz w:val="32"/>
          <w:szCs w:val="32"/>
        </w:rPr>
        <w:t>outcomes by current region</w:t>
      </w:r>
      <w:r w:rsidRPr="00C359BC">
        <w:rPr>
          <w:rFonts w:eastAsia="Calibri" w:cs="Arial"/>
          <w:b/>
          <w:color w:val="104F75"/>
          <w:sz w:val="32"/>
          <w:szCs w:val="32"/>
        </w:rPr>
        <w:t>)</w:t>
      </w:r>
    </w:p>
    <w:p w14:paraId="139CEA37" w14:textId="2A2FE76B" w:rsidR="00BC5B6F" w:rsidRDefault="00BC5B6F" w:rsidP="00C359BC">
      <w:pPr>
        <w:pStyle w:val="Paragraph"/>
        <w:spacing w:after="0"/>
        <w:ind w:firstLine="720"/>
        <w:rPr>
          <w:b/>
          <w:noProof/>
        </w:rPr>
      </w:pPr>
      <w:r w:rsidRPr="00C359BC">
        <w:rPr>
          <w:b/>
          <w:noProof/>
        </w:rPr>
        <w:t>The boxplots for regional analysis are as above but with the following differences:</w:t>
      </w:r>
    </w:p>
    <w:p w14:paraId="0ACDCF23" w14:textId="77777777" w:rsidR="00C359BC" w:rsidRPr="00C359BC" w:rsidRDefault="00C359BC" w:rsidP="00C359BC">
      <w:pPr>
        <w:pStyle w:val="Paragraph"/>
        <w:spacing w:after="0"/>
        <w:rPr>
          <w:b/>
          <w:noProof/>
        </w:rPr>
      </w:pPr>
    </w:p>
    <w:p w14:paraId="21D56F9D" w14:textId="5A01D578" w:rsidR="00D01897" w:rsidRDefault="00BC5B6F" w:rsidP="00D01897">
      <w:pPr>
        <w:pStyle w:val="Paragraph"/>
        <w:ind w:left="720"/>
      </w:pPr>
      <w:r w:rsidRPr="00C359BC">
        <w:t xml:space="preserve">The median earnings </w:t>
      </w:r>
      <w:r w:rsidR="00CB353B">
        <w:t xml:space="preserve">for each region </w:t>
      </w:r>
      <w:proofErr w:type="gramStart"/>
      <w:r w:rsidRPr="00C359BC">
        <w:t>is</w:t>
      </w:r>
      <w:proofErr w:type="gramEnd"/>
      <w:r w:rsidRPr="00C359BC">
        <w:t xml:space="preserve"> calculated by ranking all institutions’ by the median annualised earnings of their graduates </w:t>
      </w:r>
      <w:r w:rsidRPr="00D01897">
        <w:rPr>
          <w:b/>
          <w:bCs/>
        </w:rPr>
        <w:t>in each region</w:t>
      </w:r>
      <w:r w:rsidRPr="00C359BC">
        <w:t xml:space="preserve"> and taking the value at which half of providers fall above and half fall below. </w:t>
      </w:r>
    </w:p>
    <w:p w14:paraId="04743D59" w14:textId="12E2CCBF" w:rsidR="00BC5B6F" w:rsidRPr="00694776" w:rsidRDefault="00BC5B6F" w:rsidP="00D01897">
      <w:pPr>
        <w:pStyle w:val="Paragraph"/>
        <w:ind w:left="720"/>
      </w:pPr>
      <w:r>
        <w:t xml:space="preserve">The lower quartile earnings </w:t>
      </w:r>
      <w:proofErr w:type="gramStart"/>
      <w:r>
        <w:t>is</w:t>
      </w:r>
      <w:proofErr w:type="gramEnd"/>
      <w:r>
        <w:t xml:space="preserve"> calculated by ranking all institutions’ median annualised earnings </w:t>
      </w:r>
      <w:r w:rsidRPr="00D01897">
        <w:rPr>
          <w:b/>
          <w:bCs/>
        </w:rPr>
        <w:t>in each region</w:t>
      </w:r>
      <w:r>
        <w:t xml:space="preserve"> and taking the value at which three quarters of providers fall above and one quarter fall below.</w:t>
      </w:r>
    </w:p>
    <w:p w14:paraId="7298F1F3" w14:textId="3803C8B7" w:rsidR="00C359BC" w:rsidRPr="00694776" w:rsidRDefault="00BC5B6F" w:rsidP="00D01897">
      <w:pPr>
        <w:pStyle w:val="Paragraph"/>
        <w:spacing w:after="240"/>
        <w:ind w:left="720"/>
      </w:pPr>
      <w:r>
        <w:t xml:space="preserve">The upper quartile earnings </w:t>
      </w:r>
      <w:proofErr w:type="gramStart"/>
      <w:r>
        <w:t>is</w:t>
      </w:r>
      <w:proofErr w:type="gramEnd"/>
      <w:r>
        <w:t xml:space="preserve"> calculated by ranking all institutions’ median annualised earnings </w:t>
      </w:r>
      <w:r w:rsidRPr="00D01897">
        <w:rPr>
          <w:b/>
          <w:bCs/>
        </w:rPr>
        <w:t>in each region</w:t>
      </w:r>
      <w:r>
        <w:t xml:space="preserve"> and taking the value at which one quarter of providers fall above and three quarters fall below</w:t>
      </w:r>
      <w:r w:rsidR="00C359BC">
        <w:t>.</w:t>
      </w:r>
    </w:p>
    <w:sectPr w:rsidR="00C359BC" w:rsidRPr="00694776" w:rsidSect="00C359B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AABD" w14:textId="77777777" w:rsidR="00A21A79" w:rsidRDefault="00A21A79">
      <w:r>
        <w:separator/>
      </w:r>
    </w:p>
  </w:endnote>
  <w:endnote w:type="continuationSeparator" w:id="0">
    <w:p w14:paraId="001437FD" w14:textId="77777777" w:rsidR="00A21A79" w:rsidRDefault="00A21A79">
      <w:r>
        <w:continuationSeparator/>
      </w:r>
    </w:p>
  </w:endnote>
  <w:endnote w:type="continuationNotice" w:id="1">
    <w:p w14:paraId="025B8144" w14:textId="77777777" w:rsidR="00A21A79" w:rsidRDefault="00A2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A9FC8" w14:textId="77777777" w:rsidR="00A21A79" w:rsidRDefault="00A21A79">
      <w:r>
        <w:separator/>
      </w:r>
    </w:p>
  </w:footnote>
  <w:footnote w:type="continuationSeparator" w:id="0">
    <w:p w14:paraId="2F696388" w14:textId="77777777" w:rsidR="00A21A79" w:rsidRDefault="00A21A79">
      <w:r>
        <w:continuationSeparator/>
      </w:r>
    </w:p>
  </w:footnote>
  <w:footnote w:type="continuationNotice" w:id="1">
    <w:p w14:paraId="47C0C394" w14:textId="77777777" w:rsidR="00A21A79" w:rsidRDefault="00A21A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7A4D"/>
    <w:multiLevelType w:val="hybridMultilevel"/>
    <w:tmpl w:val="5128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9752F3D"/>
    <w:multiLevelType w:val="hybridMultilevel"/>
    <w:tmpl w:val="076E4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CF64231"/>
    <w:multiLevelType w:val="hybridMultilevel"/>
    <w:tmpl w:val="C3D2F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652ECB"/>
    <w:multiLevelType w:val="hybridMultilevel"/>
    <w:tmpl w:val="076E4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1"/>
  </w:num>
  <w:num w:numId="5">
    <w:abstractNumId w:val="5"/>
  </w:num>
  <w:num w:numId="6">
    <w:abstractNumId w:val="7"/>
  </w:num>
  <w:num w:numId="7">
    <w:abstractNumId w:val="6"/>
  </w:num>
  <w:num w:numId="8">
    <w:abstractNumId w:val="3"/>
  </w:num>
  <w:num w:numId="9">
    <w:abstractNumId w:val="4"/>
  </w:num>
  <w:num w:numId="10">
    <w:abstractNumId w:val="4"/>
  </w:num>
  <w:num w:numId="11">
    <w:abstractNumId w:val="10"/>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6F"/>
    <w:rsid w:val="00011F78"/>
    <w:rsid w:val="00022DB6"/>
    <w:rsid w:val="00041864"/>
    <w:rsid w:val="0004776A"/>
    <w:rsid w:val="000833EF"/>
    <w:rsid w:val="000A0C1B"/>
    <w:rsid w:val="000B1468"/>
    <w:rsid w:val="000F4E59"/>
    <w:rsid w:val="00116F59"/>
    <w:rsid w:val="0013274E"/>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C5658"/>
    <w:rsid w:val="002D2A7A"/>
    <w:rsid w:val="002E28FA"/>
    <w:rsid w:val="003033E8"/>
    <w:rsid w:val="003041E6"/>
    <w:rsid w:val="00310708"/>
    <w:rsid w:val="00312BD3"/>
    <w:rsid w:val="00347A3B"/>
    <w:rsid w:val="00367EEB"/>
    <w:rsid w:val="00370895"/>
    <w:rsid w:val="00384E9F"/>
    <w:rsid w:val="00392AE9"/>
    <w:rsid w:val="003B78F9"/>
    <w:rsid w:val="003D74A2"/>
    <w:rsid w:val="003D7A13"/>
    <w:rsid w:val="003E1B86"/>
    <w:rsid w:val="00402829"/>
    <w:rsid w:val="00430DC5"/>
    <w:rsid w:val="00450D89"/>
    <w:rsid w:val="004533A7"/>
    <w:rsid w:val="00460505"/>
    <w:rsid w:val="00463122"/>
    <w:rsid w:val="00480E77"/>
    <w:rsid w:val="00484C39"/>
    <w:rsid w:val="00491BF3"/>
    <w:rsid w:val="004955D9"/>
    <w:rsid w:val="004E633C"/>
    <w:rsid w:val="00511CA5"/>
    <w:rsid w:val="005150CE"/>
    <w:rsid w:val="00516748"/>
    <w:rsid w:val="00525434"/>
    <w:rsid w:val="00530814"/>
    <w:rsid w:val="00545301"/>
    <w:rsid w:val="00565333"/>
    <w:rsid w:val="00591B39"/>
    <w:rsid w:val="0059388F"/>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C7EED"/>
    <w:rsid w:val="006D3EBD"/>
    <w:rsid w:val="006E29D8"/>
    <w:rsid w:val="006E6F0B"/>
    <w:rsid w:val="007104E4"/>
    <w:rsid w:val="007442BB"/>
    <w:rsid w:val="007463C5"/>
    <w:rsid w:val="00746846"/>
    <w:rsid w:val="00750287"/>
    <w:rsid w:val="007510C3"/>
    <w:rsid w:val="0076458E"/>
    <w:rsid w:val="00767063"/>
    <w:rsid w:val="0076723B"/>
    <w:rsid w:val="007940AE"/>
    <w:rsid w:val="007A10F9"/>
    <w:rsid w:val="007A4C02"/>
    <w:rsid w:val="007B49CD"/>
    <w:rsid w:val="007B593B"/>
    <w:rsid w:val="007B5A46"/>
    <w:rsid w:val="007C1BC2"/>
    <w:rsid w:val="007D0DBA"/>
    <w:rsid w:val="007D4DB0"/>
    <w:rsid w:val="007F073B"/>
    <w:rsid w:val="00805C72"/>
    <w:rsid w:val="008104B1"/>
    <w:rsid w:val="00831225"/>
    <w:rsid w:val="008428AB"/>
    <w:rsid w:val="00863664"/>
    <w:rsid w:val="0088151C"/>
    <w:rsid w:val="008817AB"/>
    <w:rsid w:val="008843A4"/>
    <w:rsid w:val="008B1C49"/>
    <w:rsid w:val="008B67CC"/>
    <w:rsid w:val="008C0DE5"/>
    <w:rsid w:val="008C4518"/>
    <w:rsid w:val="008D1228"/>
    <w:rsid w:val="008D1B58"/>
    <w:rsid w:val="008E3BDA"/>
    <w:rsid w:val="008F452F"/>
    <w:rsid w:val="00905ADC"/>
    <w:rsid w:val="00906C33"/>
    <w:rsid w:val="009173AF"/>
    <w:rsid w:val="00932946"/>
    <w:rsid w:val="009424FA"/>
    <w:rsid w:val="009426CB"/>
    <w:rsid w:val="009557EF"/>
    <w:rsid w:val="00963073"/>
    <w:rsid w:val="0097315A"/>
    <w:rsid w:val="009A3F0A"/>
    <w:rsid w:val="009B3EFE"/>
    <w:rsid w:val="009B493A"/>
    <w:rsid w:val="009D3D73"/>
    <w:rsid w:val="009E73AD"/>
    <w:rsid w:val="009F5357"/>
    <w:rsid w:val="009F7653"/>
    <w:rsid w:val="00A00569"/>
    <w:rsid w:val="00A21A7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3403B"/>
    <w:rsid w:val="00B6522B"/>
    <w:rsid w:val="00B65709"/>
    <w:rsid w:val="00B67DF2"/>
    <w:rsid w:val="00B85BF7"/>
    <w:rsid w:val="00B939CC"/>
    <w:rsid w:val="00BC547B"/>
    <w:rsid w:val="00BC5B6F"/>
    <w:rsid w:val="00BD4B6C"/>
    <w:rsid w:val="00C359BC"/>
    <w:rsid w:val="00C37933"/>
    <w:rsid w:val="00C408C7"/>
    <w:rsid w:val="00C47EEA"/>
    <w:rsid w:val="00C519D0"/>
    <w:rsid w:val="00C70ACB"/>
    <w:rsid w:val="00CA4FEC"/>
    <w:rsid w:val="00CB299B"/>
    <w:rsid w:val="00CB353B"/>
    <w:rsid w:val="00CD7921"/>
    <w:rsid w:val="00CE084B"/>
    <w:rsid w:val="00D01897"/>
    <w:rsid w:val="00D02D57"/>
    <w:rsid w:val="00D118D6"/>
    <w:rsid w:val="00D126D5"/>
    <w:rsid w:val="00D20266"/>
    <w:rsid w:val="00D20C29"/>
    <w:rsid w:val="00D33842"/>
    <w:rsid w:val="00D47915"/>
    <w:rsid w:val="00D57D6E"/>
    <w:rsid w:val="00D61F5A"/>
    <w:rsid w:val="00D656C2"/>
    <w:rsid w:val="00DB4C12"/>
    <w:rsid w:val="00DF33F1"/>
    <w:rsid w:val="00E0081E"/>
    <w:rsid w:val="00E02094"/>
    <w:rsid w:val="00E10F4C"/>
    <w:rsid w:val="00E2419F"/>
    <w:rsid w:val="00E366D6"/>
    <w:rsid w:val="00E63D8B"/>
    <w:rsid w:val="00E81F4B"/>
    <w:rsid w:val="00EA11BE"/>
    <w:rsid w:val="00EA130D"/>
    <w:rsid w:val="00EC644A"/>
    <w:rsid w:val="00EC6A3F"/>
    <w:rsid w:val="00F30554"/>
    <w:rsid w:val="00F348D2"/>
    <w:rsid w:val="00F4485F"/>
    <w:rsid w:val="00F44B6A"/>
    <w:rsid w:val="00F521C7"/>
    <w:rsid w:val="00F60BF8"/>
    <w:rsid w:val="00F64863"/>
    <w:rsid w:val="00F73912"/>
    <w:rsid w:val="00F74146"/>
    <w:rsid w:val="00F960C1"/>
    <w:rsid w:val="00FA0331"/>
    <w:rsid w:val="00FB1EBB"/>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4F4D0"/>
  <w15:chartTrackingRefBased/>
  <w15:docId w15:val="{21F51B13-30C1-4F27-9927-0CD98003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aliases w:val="Subheading"/>
    <w:basedOn w:val="Normal"/>
    <w:link w:val="SubtitleChar"/>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Boxheading">
    <w:name w:val="Box heading"/>
    <w:basedOn w:val="Normal"/>
    <w:next w:val="Boxtext"/>
    <w:link w:val="BoxheadingChar"/>
    <w:qFormat/>
    <w:rsid w:val="00BC5B6F"/>
    <w:pPr>
      <w:widowControl/>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6524"/>
      </w:tabs>
      <w:overflowPunct/>
      <w:autoSpaceDE/>
      <w:autoSpaceDN/>
      <w:adjustRightInd/>
      <w:spacing w:before="120" w:after="80"/>
      <w:jc w:val="both"/>
      <w:textAlignment w:val="auto"/>
    </w:pPr>
    <w:rPr>
      <w:rFonts w:ascii="Arial Bold" w:eastAsia="Calibri" w:hAnsi="Arial Bold" w:cs="Arial"/>
      <w:b/>
      <w:color w:val="104F75"/>
      <w:sz w:val="20"/>
      <w:szCs w:val="24"/>
    </w:rPr>
  </w:style>
  <w:style w:type="paragraph" w:customStyle="1" w:styleId="Boxtext">
    <w:name w:val="Box text"/>
    <w:basedOn w:val="Normal"/>
    <w:link w:val="BoxtextChar"/>
    <w:qFormat/>
    <w:rsid w:val="00BC5B6F"/>
    <w:pPr>
      <w:widowControl/>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6524"/>
      </w:tabs>
      <w:overflowPunct/>
      <w:autoSpaceDE/>
      <w:autoSpaceDN/>
      <w:adjustRightInd/>
      <w:spacing w:before="120" w:after="80"/>
      <w:jc w:val="both"/>
      <w:textAlignment w:val="auto"/>
    </w:pPr>
    <w:rPr>
      <w:rFonts w:eastAsia="Calibri" w:cs="Arial"/>
      <w:sz w:val="20"/>
      <w:szCs w:val="16"/>
    </w:rPr>
  </w:style>
  <w:style w:type="character" w:customStyle="1" w:styleId="BoxheadingChar">
    <w:name w:val="Box heading Char"/>
    <w:basedOn w:val="DefaultParagraphFont"/>
    <w:link w:val="Boxheading"/>
    <w:rsid w:val="00BC5B6F"/>
    <w:rPr>
      <w:rFonts w:ascii="Arial Bold" w:eastAsia="Calibri" w:hAnsi="Arial Bold" w:cs="Arial"/>
      <w:b/>
      <w:color w:val="104F75"/>
      <w:szCs w:val="24"/>
      <w:shd w:val="clear" w:color="auto" w:fill="DBE5F1" w:themeFill="accent1" w:themeFillTint="33"/>
      <w:lang w:eastAsia="en-US"/>
    </w:rPr>
  </w:style>
  <w:style w:type="character" w:customStyle="1" w:styleId="BoxtextChar">
    <w:name w:val="Box text Char"/>
    <w:basedOn w:val="DefaultParagraphFont"/>
    <w:link w:val="Boxtext"/>
    <w:rsid w:val="00BC5B6F"/>
    <w:rPr>
      <w:rFonts w:ascii="Arial" w:eastAsia="Calibri" w:hAnsi="Arial" w:cs="Arial"/>
      <w:szCs w:val="16"/>
      <w:shd w:val="clear" w:color="auto" w:fill="DBE5F1" w:themeFill="accent1" w:themeFillTint="33"/>
      <w:lang w:eastAsia="en-US"/>
    </w:rPr>
  </w:style>
  <w:style w:type="character" w:styleId="CommentReference">
    <w:name w:val="annotation reference"/>
    <w:basedOn w:val="DefaultParagraphFont"/>
    <w:semiHidden/>
    <w:unhideWhenUsed/>
    <w:rsid w:val="00BC5B6F"/>
    <w:rPr>
      <w:sz w:val="16"/>
      <w:szCs w:val="16"/>
    </w:rPr>
  </w:style>
  <w:style w:type="paragraph" w:styleId="CommentText">
    <w:name w:val="annotation text"/>
    <w:basedOn w:val="Normal"/>
    <w:link w:val="CommentTextChar"/>
    <w:unhideWhenUsed/>
    <w:rsid w:val="00BC5B6F"/>
    <w:rPr>
      <w:sz w:val="20"/>
    </w:rPr>
  </w:style>
  <w:style w:type="character" w:customStyle="1" w:styleId="CommentTextChar">
    <w:name w:val="Comment Text Char"/>
    <w:basedOn w:val="DefaultParagraphFont"/>
    <w:link w:val="CommentText"/>
    <w:rsid w:val="00BC5B6F"/>
    <w:rPr>
      <w:rFonts w:ascii="Arial" w:hAnsi="Arial"/>
      <w:lang w:eastAsia="en-US"/>
    </w:rPr>
  </w:style>
  <w:style w:type="paragraph" w:styleId="BalloonText">
    <w:name w:val="Balloon Text"/>
    <w:basedOn w:val="Normal"/>
    <w:link w:val="BalloonTextChar"/>
    <w:rsid w:val="00BC5B6F"/>
    <w:rPr>
      <w:rFonts w:ascii="Segoe UI" w:hAnsi="Segoe UI" w:cs="Segoe UI"/>
      <w:sz w:val="18"/>
      <w:szCs w:val="18"/>
    </w:rPr>
  </w:style>
  <w:style w:type="character" w:customStyle="1" w:styleId="BalloonTextChar">
    <w:name w:val="Balloon Text Char"/>
    <w:basedOn w:val="DefaultParagraphFont"/>
    <w:link w:val="BalloonText"/>
    <w:rsid w:val="00BC5B6F"/>
    <w:rPr>
      <w:rFonts w:ascii="Segoe UI" w:hAnsi="Segoe UI" w:cs="Segoe UI"/>
      <w:sz w:val="18"/>
      <w:szCs w:val="18"/>
      <w:lang w:eastAsia="en-US"/>
    </w:rPr>
  </w:style>
  <w:style w:type="paragraph" w:customStyle="1" w:styleId="SFRTitle">
    <w:name w:val="SFR Title"/>
    <w:basedOn w:val="Normal"/>
    <w:next w:val="Normal"/>
    <w:link w:val="SFRTitleChar"/>
    <w:qFormat/>
    <w:rsid w:val="00C359BC"/>
    <w:pPr>
      <w:widowControl/>
      <w:pBdr>
        <w:top w:val="single" w:sz="8" w:space="6" w:color="104F75"/>
        <w:left w:val="single" w:sz="8" w:space="4" w:color="104F75"/>
        <w:bottom w:val="single" w:sz="8" w:space="7" w:color="104F75"/>
        <w:right w:val="single" w:sz="8" w:space="4" w:color="104F75"/>
      </w:pBdr>
      <w:shd w:val="clear" w:color="auto" w:fill="104F75"/>
      <w:overflowPunct/>
      <w:autoSpaceDE/>
      <w:autoSpaceDN/>
      <w:adjustRightInd/>
      <w:spacing w:after="120" w:line="252" w:lineRule="auto"/>
      <w:textAlignment w:val="auto"/>
    </w:pPr>
    <w:rPr>
      <w:rFonts w:eastAsia="Calibri"/>
      <w:b/>
      <w:color w:val="FFFFFF" w:themeColor="background1"/>
      <w:sz w:val="32"/>
      <w:szCs w:val="52"/>
    </w:rPr>
  </w:style>
  <w:style w:type="character" w:customStyle="1" w:styleId="SFRTitleChar">
    <w:name w:val="SFR Title Char"/>
    <w:basedOn w:val="DefaultParagraphFont"/>
    <w:link w:val="SFRTitle"/>
    <w:rsid w:val="00C359BC"/>
    <w:rPr>
      <w:rFonts w:ascii="Arial" w:eastAsia="Calibri" w:hAnsi="Arial"/>
      <w:b/>
      <w:color w:val="FFFFFF" w:themeColor="background1"/>
      <w:sz w:val="32"/>
      <w:szCs w:val="52"/>
      <w:shd w:val="clear" w:color="auto" w:fill="104F75"/>
      <w:lang w:eastAsia="en-US"/>
    </w:rPr>
  </w:style>
  <w:style w:type="paragraph" w:customStyle="1" w:styleId="Frontpageheadline">
    <w:name w:val="Frontpage_headline"/>
    <w:basedOn w:val="Normal"/>
    <w:next w:val="Normal"/>
    <w:link w:val="FrontpageheadlineChar"/>
    <w:qFormat/>
    <w:rsid w:val="00C359BC"/>
    <w:pPr>
      <w:keepLines/>
      <w:pBdr>
        <w:top w:val="single" w:sz="4" w:space="4" w:color="4F81BD" w:themeColor="accent1"/>
        <w:left w:val="single" w:sz="4" w:space="4" w:color="4F81BD" w:themeColor="accent1"/>
        <w:bottom w:val="single" w:sz="4" w:space="4" w:color="4F81BD" w:themeColor="accent1"/>
        <w:right w:val="single" w:sz="4" w:space="4" w:color="4F81BD" w:themeColor="accent1"/>
      </w:pBdr>
      <w:shd w:val="clear" w:color="auto" w:fill="DBE5F1" w:themeFill="accent1" w:themeFillTint="33"/>
      <w:tabs>
        <w:tab w:val="left" w:pos="567"/>
      </w:tabs>
      <w:spacing w:before="80" w:after="80"/>
      <w:ind w:left="57" w:right="57"/>
      <w:outlineLvl w:val="0"/>
    </w:pPr>
    <w:rPr>
      <w:rFonts w:ascii="Arial Bold" w:eastAsia="Calibri" w:hAnsi="Arial Bold" w:cs="Arial"/>
      <w:b/>
      <w:color w:val="104F75"/>
      <w:szCs w:val="28"/>
      <w:lang w:eastAsia="ja-JP"/>
    </w:rPr>
  </w:style>
  <w:style w:type="character" w:customStyle="1" w:styleId="FrontpageheadlineChar">
    <w:name w:val="Frontpage_headline Char"/>
    <w:basedOn w:val="DefaultParagraphFont"/>
    <w:link w:val="Frontpageheadline"/>
    <w:rsid w:val="00C359BC"/>
    <w:rPr>
      <w:rFonts w:ascii="Arial Bold" w:eastAsia="Calibri" w:hAnsi="Arial Bold" w:cs="Arial"/>
      <w:b/>
      <w:color w:val="104F75"/>
      <w:sz w:val="24"/>
      <w:szCs w:val="28"/>
      <w:shd w:val="clear" w:color="auto" w:fill="DBE5F1" w:themeFill="accent1" w:themeFillTint="33"/>
      <w:lang w:eastAsia="ja-JP"/>
    </w:rPr>
  </w:style>
  <w:style w:type="character" w:customStyle="1" w:styleId="SubtitleChar">
    <w:name w:val="Subtitle Char"/>
    <w:aliases w:val="Subheading Char"/>
    <w:link w:val="Subtitle"/>
    <w:rsid w:val="00C359BC"/>
    <w:rPr>
      <w:rFonts w:ascii="Arial" w:hAnsi="Arial"/>
      <w:i/>
      <w:sz w:val="24"/>
      <w:lang w:eastAsia="en-US"/>
    </w:rPr>
  </w:style>
  <w:style w:type="paragraph" w:customStyle="1" w:styleId="Paragraph">
    <w:name w:val="Paragraph"/>
    <w:basedOn w:val="Normal"/>
    <w:link w:val="ParagraphChar"/>
    <w:qFormat/>
    <w:rsid w:val="00C359BC"/>
    <w:pPr>
      <w:widowControl/>
      <w:overflowPunct/>
      <w:autoSpaceDE/>
      <w:autoSpaceDN/>
      <w:adjustRightInd/>
      <w:spacing w:after="160" w:line="252" w:lineRule="auto"/>
      <w:textAlignment w:val="auto"/>
    </w:pPr>
    <w:rPr>
      <w:rFonts w:eastAsia="Calibri"/>
      <w:sz w:val="22"/>
      <w:szCs w:val="22"/>
    </w:rPr>
  </w:style>
  <w:style w:type="character" w:customStyle="1" w:styleId="ParagraphChar">
    <w:name w:val="Paragraph Char"/>
    <w:basedOn w:val="DefaultParagraphFont"/>
    <w:link w:val="Paragraph"/>
    <w:rsid w:val="00C359BC"/>
    <w:rPr>
      <w:rFonts w:ascii="Arial" w:eastAsia="Calibri" w:hAnsi="Arial"/>
      <w:sz w:val="22"/>
      <w:szCs w:val="22"/>
      <w:lang w:eastAsia="en-US"/>
    </w:rPr>
  </w:style>
  <w:style w:type="character" w:styleId="Hyperlink">
    <w:name w:val="Hyperlink"/>
    <w:basedOn w:val="DefaultParagraphFont"/>
    <w:unhideWhenUsed/>
    <w:rsid w:val="0059388F"/>
    <w:rPr>
      <w:color w:val="0000FF" w:themeColor="hyperlink"/>
      <w:u w:val="single"/>
    </w:rPr>
  </w:style>
  <w:style w:type="character" w:styleId="UnresolvedMention">
    <w:name w:val="Unresolved Mention"/>
    <w:basedOn w:val="DefaultParagraphFont"/>
    <w:uiPriority w:val="99"/>
    <w:semiHidden/>
    <w:unhideWhenUsed/>
    <w:rsid w:val="00593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24678">
      <w:bodyDiv w:val="1"/>
      <w:marLeft w:val="0"/>
      <w:marRight w:val="0"/>
      <w:marTop w:val="0"/>
      <w:marBottom w:val="0"/>
      <w:divBdr>
        <w:top w:val="none" w:sz="0" w:space="0" w:color="auto"/>
        <w:left w:val="none" w:sz="0" w:space="0" w:color="auto"/>
        <w:bottom w:val="none" w:sz="0" w:space="0" w:color="auto"/>
        <w:right w:val="none" w:sz="0" w:space="0" w:color="auto"/>
      </w:divBdr>
      <w:divsChild>
        <w:div w:id="1401707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xplore-education-statistics.service.gov.uk/find-statistics/graduate-outcomes-le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EEF6145FB444B8A28CA291FEA22B3" ma:contentTypeVersion="10" ma:contentTypeDescription="Create a new document." ma:contentTypeScope="" ma:versionID="ad19858cac6a5cab30a914f1ccb4a8a2">
  <xsd:schema xmlns:xsd="http://www.w3.org/2001/XMLSchema" xmlns:xs="http://www.w3.org/2001/XMLSchema" xmlns:p="http://schemas.microsoft.com/office/2006/metadata/properties" xmlns:ns2="6d476623-d28d-4cfd-b4aa-03c021ba9ac0" xmlns:ns3="1fe84117-520c-42b6-b753-2c95094dbdd9" targetNamespace="http://schemas.microsoft.com/office/2006/metadata/properties" ma:root="true" ma:fieldsID="2a9a342c0795387038371735339feaac" ns2:_="" ns3:_="">
    <xsd:import namespace="6d476623-d28d-4cfd-b4aa-03c021ba9ac0"/>
    <xsd:import namespace="1fe84117-520c-42b6-b753-2c95094dbd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76623-d28d-4cfd-b4aa-03c021ba9a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84117-520c-42b6-b753-2c95094dbd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0CEF0-890B-48BE-A9DD-E02C7CD0B4DA}">
  <ds:schemaRefs>
    <ds:schemaRef ds:uri="http://schemas.microsoft.com/sharepoint/v3/contenttype/forms"/>
  </ds:schemaRefs>
</ds:datastoreItem>
</file>

<file path=customXml/itemProps2.xml><?xml version="1.0" encoding="utf-8"?>
<ds:datastoreItem xmlns:ds="http://schemas.openxmlformats.org/officeDocument/2006/customXml" ds:itemID="{F43763D4-A436-4755-8DB4-50DAF91813EF}">
  <ds:schemaRefs>
    <ds:schemaRef ds:uri="http://purl.org/dc/dcmitype/"/>
    <ds:schemaRef ds:uri="6d476623-d28d-4cfd-b4aa-03c021ba9ac0"/>
    <ds:schemaRef ds:uri="1fe84117-520c-42b6-b753-2c95094dbdd9"/>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1C286AB-E289-4571-B997-15837D638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76623-d28d-4cfd-b4aa-03c021ba9ac0"/>
    <ds:schemaRef ds:uri="1fe84117-520c-42b6-b753-2c95094db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Links>
    <vt:vector size="6" baseType="variant">
      <vt:variant>
        <vt:i4>4259869</vt:i4>
      </vt:variant>
      <vt:variant>
        <vt:i4>0</vt:i4>
      </vt:variant>
      <vt:variant>
        <vt:i4>0</vt:i4>
      </vt:variant>
      <vt:variant>
        <vt:i4>5</vt:i4>
      </vt:variant>
      <vt:variant>
        <vt:lpwstr>https://explore-education-statistics.service.gov.uk/find-statistics/graduate-outcomes-leo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CHILDS, Simon</dc:creator>
  <cp:keywords/>
  <dc:description/>
  <cp:lastModifiedBy>FOSTER, Charlotte</cp:lastModifiedBy>
  <cp:revision>2</cp:revision>
  <dcterms:created xsi:type="dcterms:W3CDTF">2021-06-14T10:56:00Z</dcterms:created>
  <dcterms:modified xsi:type="dcterms:W3CDTF">2021-06-14T10:56:00Z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0x010100524EEF6145FB444B8A28CA291FEA22B3</vt:lpwstr>
  </property>
</Properties>
</file>